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DAE00" w14:textId="77777777" w:rsidR="00FE2B59" w:rsidRPr="00854D19" w:rsidRDefault="00FE2B59" w:rsidP="00FE2B59">
      <w:pPr>
        <w:rPr>
          <w:b/>
          <w:bCs/>
        </w:rPr>
      </w:pPr>
      <w:r w:rsidRPr="00854D19">
        <w:rPr>
          <w:b/>
          <w:bCs/>
        </w:rPr>
        <w:t>Did Transforming Assessments in Large-Enrollment Introductory Statistics Impact Student Achievement? Surprisingly, Only for Those Who Needed It!</w:t>
      </w:r>
    </w:p>
    <w:p w14:paraId="1EC8EFB2" w14:textId="57FFBEA0" w:rsidR="00FE2B59" w:rsidRDefault="00FE2B59" w:rsidP="00FE2B59">
      <w:r>
        <w:t xml:space="preserve">Wondering how to reach those students with lesser mathematical preparedness in introductory statistics courses? </w:t>
      </w:r>
      <w:r w:rsidRPr="00A1604B">
        <w:t>Using regression discontinuity methodology, large-enrollment introductory statistics courses were compared before and after implementing Formative Assessment Cycles (Hadfield, 2023). FACs (frequent formative assessments, automatic feedback, and the opportunity for reassessment) were implemented as a curricular intervention to address the call for improving student pathways for completing their introductory statistics requirement (Peck, 2019).</w:t>
      </w:r>
      <w:r>
        <w:t xml:space="preserve"> </w:t>
      </w:r>
      <w:r w:rsidRPr="00A1604B">
        <w:t xml:space="preserve">The results showed meaningful differences in course achievement, </w:t>
      </w:r>
      <w:r>
        <w:t>specifically, that</w:t>
      </w:r>
      <w:r w:rsidRPr="00A1604B">
        <w:t xml:space="preserve"> FACs </w:t>
      </w:r>
      <w:r>
        <w:t>helped</w:t>
      </w:r>
      <w:r w:rsidRPr="00A1604B">
        <w:t xml:space="preserve"> students with less mathematical preparedness successfully navigate this quantitative requiremen</w:t>
      </w:r>
      <w:r>
        <w:t>t</w:t>
      </w:r>
      <w:r w:rsidRPr="00A1604B">
        <w:t>.</w:t>
      </w:r>
      <w:r>
        <w:t xml:space="preserve"> In this poster, participants will see how co-requisite courses can benefit from FACs and how to implement them to improve student achievement. </w:t>
      </w:r>
    </w:p>
    <w:p w14:paraId="1DA05443" w14:textId="6345DF83" w:rsidR="00FE2B59" w:rsidRDefault="001E7AE4" w:rsidP="00FE2B59">
      <w:r>
        <w:rPr>
          <w:noProof/>
        </w:rPr>
        <mc:AlternateContent>
          <mc:Choice Requires="wps">
            <w:drawing>
              <wp:anchor distT="0" distB="0" distL="114300" distR="114300" simplePos="0" relativeHeight="251660288" behindDoc="0" locked="0" layoutInCell="1" allowOverlap="1" wp14:anchorId="0A9CA1A6" wp14:editId="0EFD7148">
                <wp:simplePos x="0" y="0"/>
                <wp:positionH relativeFrom="column">
                  <wp:posOffset>-273050</wp:posOffset>
                </wp:positionH>
                <wp:positionV relativeFrom="paragraph">
                  <wp:posOffset>2315210</wp:posOffset>
                </wp:positionV>
                <wp:extent cx="2971800" cy="635"/>
                <wp:effectExtent l="0" t="0" r="0" b="0"/>
                <wp:wrapThrough wrapText="bothSides">
                  <wp:wrapPolygon edited="0">
                    <wp:start x="0" y="0"/>
                    <wp:lineTo x="0" y="21600"/>
                    <wp:lineTo x="21600" y="21600"/>
                    <wp:lineTo x="21600" y="0"/>
                  </wp:wrapPolygon>
                </wp:wrapThrough>
                <wp:docPr id="1152447125" name="Text Box 1"/>
                <wp:cNvGraphicFramePr/>
                <a:graphic xmlns:a="http://schemas.openxmlformats.org/drawingml/2006/main">
                  <a:graphicData uri="http://schemas.microsoft.com/office/word/2010/wordprocessingShape">
                    <wps:wsp>
                      <wps:cNvSpPr txBox="1"/>
                      <wps:spPr>
                        <a:xfrm>
                          <a:off x="0" y="0"/>
                          <a:ext cx="2971800" cy="635"/>
                        </a:xfrm>
                        <a:prstGeom prst="rect">
                          <a:avLst/>
                        </a:prstGeom>
                        <a:solidFill>
                          <a:prstClr val="white"/>
                        </a:solidFill>
                        <a:ln>
                          <a:noFill/>
                        </a:ln>
                      </wps:spPr>
                      <wps:txbx>
                        <w:txbxContent>
                          <w:p w14:paraId="5EF5233E" w14:textId="60ACA589" w:rsidR="001E7AE4" w:rsidRPr="00502747" w:rsidRDefault="001E7AE4" w:rsidP="001E7AE4">
                            <w:pPr>
                              <w:pStyle w:val="Caption"/>
                              <w:jc w:val="center"/>
                              <w:rPr>
                                <w:sz w:val="22"/>
                                <w:szCs w:val="22"/>
                              </w:rPr>
                            </w:pPr>
                            <w:r>
                              <w:t xml:space="preserve">Figure </w:t>
                            </w:r>
                            <w:r>
                              <w:fldChar w:fldCharType="begin"/>
                            </w:r>
                            <w:r>
                              <w:instrText xml:space="preserve"> SEQ Figure \* ARABIC </w:instrText>
                            </w:r>
                            <w:r>
                              <w:fldChar w:fldCharType="separate"/>
                            </w:r>
                            <w:r>
                              <w:rPr>
                                <w:noProof/>
                              </w:rPr>
                              <w:t>1</w:t>
                            </w:r>
                            <w:r>
                              <w:fldChar w:fldCharType="end"/>
                            </w:r>
                            <w:r>
                              <w:t xml:space="preserve"> The formative assessment </w:t>
                            </w:r>
                            <w:proofErr w:type="gramStart"/>
                            <w:r>
                              <w:t>cycle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A9CA1A6" id="_x0000_t202" coordsize="21600,21600" o:spt="202" path="m,l,21600r21600,l21600,xe">
                <v:stroke joinstyle="miter"/>
                <v:path gradientshapeok="t" o:connecttype="rect"/>
              </v:shapetype>
              <v:shape id="Text Box 1" o:spid="_x0000_s1026" type="#_x0000_t202" style="position:absolute;margin-left:-21.5pt;margin-top:182.3pt;width:23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" stroked="f">
                <v:textbox style="mso-fit-shape-to-text:t" inset="0,0,0,0">
                  <w:txbxContent>
                    <w:p w14:paraId="5EF5233E" w14:textId="60ACA589" w:rsidR="001E7AE4" w:rsidRPr="00502747" w:rsidRDefault="001E7AE4" w:rsidP="001E7AE4">
                      <w:pPr>
                        <w:pStyle w:val="Caption"/>
                        <w:jc w:val="center"/>
                        <w:rPr>
                          <w:sz w:val="22"/>
                          <w:szCs w:val="22"/>
                        </w:rPr>
                      </w:pPr>
                      <w:r>
                        <w:t xml:space="preserve">Figure </w:t>
                      </w:r>
                      <w:r>
                        <w:fldChar w:fldCharType="begin"/>
                      </w:r>
                      <w:r>
                        <w:instrText xml:space="preserve"> SEQ Figure \* ARABIC </w:instrText>
                      </w:r>
                      <w:r>
                        <w:fldChar w:fldCharType="separate"/>
                      </w:r>
                      <w:r>
                        <w:rPr>
                          <w:noProof/>
                        </w:rPr>
                        <w:t>1</w:t>
                      </w:r>
                      <w:r>
                        <w:fldChar w:fldCharType="end"/>
                      </w:r>
                      <w:r>
                        <w:t xml:space="preserve"> The formative assessment </w:t>
                      </w:r>
                      <w:proofErr w:type="gramStart"/>
                      <w:r>
                        <w:t>cycle</w:t>
                      </w:r>
                      <w:proofErr w:type="gramEnd"/>
                    </w:p>
                  </w:txbxContent>
                </v:textbox>
                <w10:wrap type="through"/>
              </v:shape>
            </w:pict>
          </mc:Fallback>
        </mc:AlternateContent>
      </w:r>
      <w:r w:rsidRPr="001E7AE4">
        <w:drawing>
          <wp:anchor distT="0" distB="0" distL="114300" distR="114300" simplePos="0" relativeHeight="251658240" behindDoc="0" locked="0" layoutInCell="1" allowOverlap="1" wp14:anchorId="0F0E9457" wp14:editId="411F891A">
            <wp:simplePos x="0" y="0"/>
            <wp:positionH relativeFrom="column">
              <wp:posOffset>-247650</wp:posOffset>
            </wp:positionH>
            <wp:positionV relativeFrom="paragraph">
              <wp:posOffset>7620</wp:posOffset>
            </wp:positionV>
            <wp:extent cx="2971800" cy="2288540"/>
            <wp:effectExtent l="0" t="0" r="0" b="0"/>
            <wp:wrapThrough wrapText="bothSides">
              <wp:wrapPolygon edited="0">
                <wp:start x="0" y="0"/>
                <wp:lineTo x="0" y="21396"/>
                <wp:lineTo x="21462" y="21396"/>
                <wp:lineTo x="21462" y="0"/>
                <wp:lineTo x="0" y="0"/>
              </wp:wrapPolygon>
            </wp:wrapThrough>
            <wp:docPr id="1026" name="Picture 2" descr="A diagram of multiple attempts for assessment&#10;&#10;Description automatically generated">
              <a:extLst xmlns:a="http://schemas.openxmlformats.org/drawingml/2006/main">
                <a:ext uri="{FF2B5EF4-FFF2-40B4-BE49-F238E27FC236}">
                  <a16:creationId xmlns:a16="http://schemas.microsoft.com/office/drawing/2014/main" id="{5A0A8E3D-C994-B8A5-72CB-9FE8737ABAC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A diagram of multiple attempts for assessment&#10;&#10;Description automatically generated">
                      <a:extLst>
                        <a:ext uri="{FF2B5EF4-FFF2-40B4-BE49-F238E27FC236}">
                          <a16:creationId xmlns:a16="http://schemas.microsoft.com/office/drawing/2014/main" id="{5A0A8E3D-C994-B8A5-72CB-9FE8737ABACB}"/>
                        </a:ext>
                      </a:extLst>
                    </pic:cNvPr>
                    <pic:cNvPicPr>
                      <a:picLocks noGrp="1"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971800" cy="2288540"/>
                    </a:xfrm>
                    <a:prstGeom prst="rect">
                      <a:avLst/>
                    </a:prstGeom>
                    <a:noFill/>
                  </pic:spPr>
                </pic:pic>
              </a:graphicData>
            </a:graphic>
          </wp:anchor>
        </w:drawing>
      </w:r>
      <w:r w:rsidR="00FE2B59" w:rsidRPr="00A1604B">
        <w:t xml:space="preserve">Implementing formative assessment in large-enrollment courses can be taxing, but the takeaway of the results of this study provides exciting developments in student achievement in introductory statistics using FACs, specifically for less mathematically prepared students. </w:t>
      </w:r>
      <w:r w:rsidR="00FE2B59">
        <w:t>We will discuss t</w:t>
      </w:r>
      <w:r w:rsidR="00FE2B59" w:rsidRPr="00A1604B">
        <w:t>he graphs from the analysis depic</w:t>
      </w:r>
      <w:r w:rsidR="00FE2B59">
        <w:t xml:space="preserve">ting </w:t>
      </w:r>
      <w:r w:rsidR="00FE2B59" w:rsidRPr="00A1604B">
        <w:t>the</w:t>
      </w:r>
      <w:r w:rsidR="00FE2B59">
        <w:t xml:space="preserve"> frog-pond effect (Hox, 2018) that may explain</w:t>
      </w:r>
      <w:r w:rsidR="00FE2B59" w:rsidRPr="00A1604B">
        <w:t xml:space="preserve"> FACs' positive impact on this student demographic</w:t>
      </w:r>
      <w:r w:rsidR="00FE2B59">
        <w:t xml:space="preserve">. The benefits and ways that FACs can be implemented will be provided, and my hope is that participants will be invigorated and empowered to implement co-requisite courses with formative assessments in their departments. </w:t>
      </w:r>
    </w:p>
    <w:p w14:paraId="3BDEABA3" w14:textId="2E2AFEFF" w:rsidR="001E7AE4" w:rsidRDefault="001E7AE4" w:rsidP="00FE2B59"/>
    <w:p w14:paraId="0343ACBD" w14:textId="152D825F" w:rsidR="00854D19" w:rsidRDefault="00854D19" w:rsidP="00FE2B59">
      <w:r w:rsidRPr="001E7AE4">
        <w:rPr>
          <w:b/>
          <w:bCs/>
        </w:rPr>
        <w:t>References</w:t>
      </w:r>
      <w:r>
        <w:t>:</w:t>
      </w:r>
    </w:p>
    <w:p w14:paraId="07255585" w14:textId="77777777" w:rsidR="00854D19" w:rsidRPr="00854D19" w:rsidRDefault="00854D19" w:rsidP="00854D19">
      <w:r w:rsidRPr="00854D19">
        <w:t xml:space="preserve">Abell, M., Braddy, L., Ensley, D., Ludwig, L., &amp; Soto, H. (2018). </w:t>
      </w:r>
      <w:r w:rsidRPr="00854D19">
        <w:rPr>
          <w:i/>
          <w:iCs/>
        </w:rPr>
        <w:t>MAA instructional practices guide</w:t>
      </w:r>
      <w:r w:rsidRPr="00854D19">
        <w:t xml:space="preserve">. Mathematical Association of America. </w:t>
      </w:r>
      <w:hyperlink r:id="rId5" w:history="1">
        <w:r w:rsidRPr="00854D19">
          <w:rPr>
            <w:rStyle w:val="Hyperlink"/>
          </w:rPr>
          <w:t>https://www.maa.org/ programs-and communities/curriculum%20resources/instructional-practices-guide</w:t>
        </w:r>
      </w:hyperlink>
    </w:p>
    <w:p w14:paraId="3E4E8E55" w14:textId="77777777" w:rsidR="00854D19" w:rsidRPr="00854D19" w:rsidRDefault="00854D19" w:rsidP="00854D19">
      <w:r w:rsidRPr="00854D19">
        <w:t xml:space="preserve">American Statistical Association Revision Committee. (2016). Guidelines for assessment and instruction in statistics education (GAISE) college report. American Statistical Association. </w:t>
      </w:r>
      <w:hyperlink r:id="rId6" w:history="1">
        <w:r w:rsidRPr="00854D19">
          <w:rPr>
            <w:rStyle w:val="Hyperlink"/>
          </w:rPr>
          <w:t>http://www.amstat.org/education/gaise</w:t>
        </w:r>
      </w:hyperlink>
    </w:p>
    <w:p w14:paraId="66B731E0" w14:textId="77777777" w:rsidR="00854D19" w:rsidRPr="00854D19" w:rsidRDefault="00854D19" w:rsidP="00854D19">
      <w:r w:rsidRPr="00854D19">
        <w:t xml:space="preserve">Cash, C. B., </w:t>
      </w:r>
      <w:proofErr w:type="spellStart"/>
      <w:r w:rsidRPr="00854D19">
        <w:t>Letargo</w:t>
      </w:r>
      <w:proofErr w:type="spellEnd"/>
      <w:r w:rsidRPr="00854D19">
        <w:t xml:space="preserve">, J., </w:t>
      </w:r>
      <w:proofErr w:type="spellStart"/>
      <w:r w:rsidRPr="00854D19">
        <w:t>Graether</w:t>
      </w:r>
      <w:proofErr w:type="spellEnd"/>
      <w:r w:rsidRPr="00854D19">
        <w:t xml:space="preserve">, S. P., &amp; Jacobs, S. R. (2017). An analysis of the perceptions and resources of large university classes. CBE Life Sciences Education, 16(2), 1–12. </w:t>
      </w:r>
      <w:hyperlink r:id="rId7" w:history="1">
        <w:r w:rsidRPr="00854D19">
          <w:rPr>
            <w:rStyle w:val="Hyperlink"/>
          </w:rPr>
          <w:t>https://doi.org/10.1187/cbe.16-01-0004</w:t>
        </w:r>
      </w:hyperlink>
    </w:p>
    <w:p w14:paraId="1D015B95" w14:textId="77777777" w:rsidR="00854D19" w:rsidRPr="00854D19" w:rsidRDefault="00854D19" w:rsidP="00854D19">
      <w:r w:rsidRPr="00854D19">
        <w:t xml:space="preserve">Chew, P., &amp; Dillon, D. (2014). Statistics anxiety update: Refining the construct and recommendations for a new research agenda. Perspectives on Psychological Science, 9(2), 196–208. </w:t>
      </w:r>
      <w:hyperlink r:id="rId8" w:history="1">
        <w:r w:rsidRPr="00854D19">
          <w:rPr>
            <w:rStyle w:val="Hyperlink"/>
          </w:rPr>
          <w:t>https://doi.org/10.1177/1745691613518077</w:t>
        </w:r>
      </w:hyperlink>
    </w:p>
    <w:p w14:paraId="58232A9C" w14:textId="77777777" w:rsidR="00854D19" w:rsidRDefault="00854D19" w:rsidP="00854D19">
      <w:r w:rsidRPr="00854D19">
        <w:lastRenderedPageBreak/>
        <w:t xml:space="preserve">Complete College America. (2012). Remediation: Higher education’s bridge to nowhere. </w:t>
      </w:r>
      <w:hyperlink r:id="rId9" w:history="1">
        <w:r w:rsidRPr="00854D19">
          <w:rPr>
            <w:rStyle w:val="Hyperlink"/>
          </w:rPr>
          <w:t>https://completecollege.org/wp-content/uploads/2017/11/CCA-Remediation-final.pdf</w:t>
        </w:r>
      </w:hyperlink>
    </w:p>
    <w:p w14:paraId="502C3FFB" w14:textId="06EB4E66" w:rsidR="00854D19" w:rsidRPr="00854D19" w:rsidRDefault="00854D19" w:rsidP="00854D19">
      <w:r w:rsidRPr="00854D19">
        <w:t>Davies, N., &amp; Marriott, J. (2010). Assessment and feedback in statistics. In P. Bidgood, N. Hunt, &amp; F. Joliffe (Eds.), Assessment methods in statistical education: An international perspective (pp. 3–20). Wiley.</w:t>
      </w:r>
    </w:p>
    <w:p w14:paraId="58268773" w14:textId="77777777" w:rsidR="00854D19" w:rsidRPr="00854D19" w:rsidRDefault="00854D19" w:rsidP="00854D19">
      <w:r w:rsidRPr="00854D19">
        <w:t xml:space="preserve">Dweck, C. S. (2008). Mindsets and math/science achievement. Carnegie Corporation of New York. http://www.growthmindsetmaths.com/uploads/2/3/7/7/23776169/ </w:t>
      </w:r>
      <w:proofErr w:type="spellStart"/>
      <w:r w:rsidRPr="00854D19">
        <w:t>mindset_and</w:t>
      </w:r>
      <w:proofErr w:type="spellEnd"/>
      <w:r w:rsidRPr="00854D19">
        <w:t>_ math_science_achievement_-_nov_2013.pdf</w:t>
      </w:r>
    </w:p>
    <w:p w14:paraId="59272C61" w14:textId="77777777" w:rsidR="00854D19" w:rsidRPr="00854D19" w:rsidRDefault="00854D19" w:rsidP="00854D19">
      <w:r w:rsidRPr="00854D19">
        <w:t xml:space="preserve">Hadfield, K.F. (2023). A conceptual framework for formative assessment in large-enrollment introductory   statistics. Statistics Education Research Journal, 22(1). </w:t>
      </w:r>
      <w:hyperlink r:id="rId10" w:history="1">
        <w:r w:rsidRPr="00854D19">
          <w:rPr>
            <w:rStyle w:val="Hyperlink"/>
          </w:rPr>
          <w:t>https://iase-web.org/ojs/SERJ/article/view/99</w:t>
        </w:r>
      </w:hyperlink>
    </w:p>
    <w:p w14:paraId="4EDE6AC4" w14:textId="77777777" w:rsidR="00854D19" w:rsidRPr="00854D19" w:rsidRDefault="00854D19" w:rsidP="00854D19">
      <w:r w:rsidRPr="00854D19">
        <w:t xml:space="preserve">Harlen, W. (2012). On the relationship between assessment for formative and summative purposes. In J. Gardner (Ed.), Assessment and learning (pp. 87–102). SAGE Publications. </w:t>
      </w:r>
      <w:hyperlink r:id="rId11" w:history="1">
        <w:r w:rsidRPr="00854D19">
          <w:rPr>
            <w:rStyle w:val="Hyperlink"/>
          </w:rPr>
          <w:t>http://dx.doi.org/10.4135/9781446250808.n6</w:t>
        </w:r>
      </w:hyperlink>
    </w:p>
    <w:p w14:paraId="45B2BFC3" w14:textId="77777777" w:rsidR="00854D19" w:rsidRPr="00854D19" w:rsidRDefault="00854D19" w:rsidP="00854D19">
      <w:r w:rsidRPr="00854D19">
        <w:t xml:space="preserve">Hox, J., </w:t>
      </w:r>
      <w:proofErr w:type="spellStart"/>
      <w:r w:rsidRPr="00854D19">
        <w:t>Moerbeek</w:t>
      </w:r>
      <w:proofErr w:type="spellEnd"/>
      <w:r w:rsidRPr="00854D19">
        <w:t xml:space="preserve">, M., &amp; van de </w:t>
      </w:r>
      <w:proofErr w:type="spellStart"/>
      <w:r w:rsidRPr="00854D19">
        <w:t>Schoot</w:t>
      </w:r>
      <w:proofErr w:type="spellEnd"/>
      <w:r w:rsidRPr="00854D19">
        <w:t>, R. (2018). Multilevel analysis: Techniques and applications. Routledge.</w:t>
      </w:r>
    </w:p>
    <w:p w14:paraId="75737E84" w14:textId="77777777" w:rsidR="00854D19" w:rsidRDefault="00854D19" w:rsidP="00854D19">
      <w:r w:rsidRPr="00854D19">
        <w:t xml:space="preserve">Peck, R. (2019). The evolving </w:t>
      </w:r>
      <w:proofErr w:type="gramStart"/>
      <w:r w:rsidRPr="00854D19">
        <w:t>statistics</w:t>
      </w:r>
      <w:proofErr w:type="gramEnd"/>
      <w:r w:rsidRPr="00854D19">
        <w:t xml:space="preserve"> pathway. In R. Hartzler &amp; R. Blair (Eds.), Emerging issues in mathematics pathways case studies, scans of the field, and recommendations (pp. 33–40). Charles A. Dana Center at The University of Texas at Austin. </w:t>
      </w:r>
      <w:hyperlink r:id="rId12" w:history="1">
        <w:r w:rsidRPr="00854D19">
          <w:rPr>
            <w:rStyle w:val="Hyperlink"/>
          </w:rPr>
          <w:t>https://tacc.org/sites/default/files/documents/2019-04/emerging-issues-in-mathematics-pathways.pdf#page=45</w:t>
        </w:r>
      </w:hyperlink>
    </w:p>
    <w:p w14:paraId="46E90FAA" w14:textId="11F1AA30" w:rsidR="00854D19" w:rsidRDefault="00854D19" w:rsidP="00854D19">
      <w:proofErr w:type="spellStart"/>
      <w:r w:rsidRPr="00854D19">
        <w:t>Simonite</w:t>
      </w:r>
      <w:proofErr w:type="spellEnd"/>
      <w:r w:rsidRPr="00854D19">
        <w:t xml:space="preserve">, V., &amp; Targett, R. (2010). Assignments made in </w:t>
      </w:r>
      <w:proofErr w:type="gramStart"/>
      <w:r w:rsidRPr="00854D19">
        <w:t>heaven?</w:t>
      </w:r>
      <w:proofErr w:type="gramEnd"/>
      <w:r w:rsidRPr="00854D19">
        <w:t xml:space="preserve"> Computer-marked, </w:t>
      </w:r>
      <w:proofErr w:type="spellStart"/>
      <w:r w:rsidRPr="00854D19">
        <w:t>individualised</w:t>
      </w:r>
      <w:proofErr w:type="spellEnd"/>
      <w:r w:rsidRPr="00854D19">
        <w:t xml:space="preserve"> coursework in an introductory level statistics course. In P. Bidgood, N. Hunt, &amp; F. Jolliffe (Eds.), Assessment methods in statistical education: An international perspective (pp. 235–246). Wiley.</w:t>
      </w:r>
    </w:p>
    <w:p w14:paraId="611D00AB" w14:textId="1C45CD63" w:rsidR="00854D19" w:rsidRDefault="00854D19" w:rsidP="00854D19">
      <w:r w:rsidRPr="00854D19">
        <w:t xml:space="preserve">Spencer, N. (2010). An adaptive, automated, </w:t>
      </w:r>
      <w:proofErr w:type="spellStart"/>
      <w:r w:rsidRPr="00854D19">
        <w:t>individualised</w:t>
      </w:r>
      <w:proofErr w:type="spellEnd"/>
      <w:r w:rsidRPr="00854D19">
        <w:t xml:space="preserve"> assessment system for introductory statistics. In P. Bidgood, N. Hunt, &amp; F. Jolliffe (Eds.), Assessment methods in statistical education: An international perspective (pp. 211–222). Wiley.</w:t>
      </w:r>
    </w:p>
    <w:p w14:paraId="6EDAA369" w14:textId="54BBE0D7" w:rsidR="00854D19" w:rsidRPr="00854D19" w:rsidRDefault="00854D19" w:rsidP="00854D19">
      <w:r w:rsidRPr="00A42203">
        <w:t xml:space="preserve">Stirling, D. (2010). Random computer-based exercises for teaching statistical skills and concepts. In P. Bidgood, N. Hunt, &amp; F. Jolliffe (Eds.), </w:t>
      </w:r>
      <w:r w:rsidRPr="00A42203">
        <w:rPr>
          <w:i/>
          <w:iCs/>
        </w:rPr>
        <w:t xml:space="preserve">Assessment methods in statistical education: An international perspective </w:t>
      </w:r>
      <w:r w:rsidRPr="00A42203">
        <w:t>(pp. 223–234). Wiley</w:t>
      </w:r>
    </w:p>
    <w:p w14:paraId="6AC9969F" w14:textId="77777777" w:rsidR="00854D19" w:rsidRPr="00854D19" w:rsidRDefault="00854D19" w:rsidP="00854D19">
      <w:proofErr w:type="spellStart"/>
      <w:r w:rsidRPr="00854D19">
        <w:t>Thistlewaite</w:t>
      </w:r>
      <w:proofErr w:type="spellEnd"/>
      <w:r w:rsidRPr="00854D19">
        <w:t>, D., &amp; Campbell, D. (1960). Regression discontinuity analysis: An alternative to the ex post facto experiment. Journal of Educational Psychology, 51, 309–317. https://doi.org/10.1037/h0044319</w:t>
      </w:r>
    </w:p>
    <w:p w14:paraId="52A43797" w14:textId="77777777" w:rsidR="00854D19" w:rsidRPr="00854D19" w:rsidRDefault="00854D19" w:rsidP="00854D19">
      <w:r w:rsidRPr="00854D19">
        <w:t>Williams, A. (2015). Statistics anxiety and worry: The roles of worry beliefs, negative problem orientation, and cognitive avoidance. Statistics Education Research Journal, 14(2), 53–75. https://doi.org/10.52041/serj.v14i2.261</w:t>
      </w:r>
    </w:p>
    <w:p w14:paraId="2EDF35E8" w14:textId="77777777" w:rsidR="00854D19" w:rsidRDefault="00854D19" w:rsidP="00FE2B59"/>
    <w:sectPr w:rsidR="00854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C1"/>
    <w:rsid w:val="00073D08"/>
    <w:rsid w:val="001E7AE4"/>
    <w:rsid w:val="00280D92"/>
    <w:rsid w:val="004B4DC6"/>
    <w:rsid w:val="004D423A"/>
    <w:rsid w:val="00564078"/>
    <w:rsid w:val="005F7281"/>
    <w:rsid w:val="0061692B"/>
    <w:rsid w:val="007A5FCE"/>
    <w:rsid w:val="007D388E"/>
    <w:rsid w:val="00854D19"/>
    <w:rsid w:val="009700C1"/>
    <w:rsid w:val="00A02532"/>
    <w:rsid w:val="00A1604B"/>
    <w:rsid w:val="00DE24D5"/>
    <w:rsid w:val="00EE681A"/>
    <w:rsid w:val="00FA18B9"/>
    <w:rsid w:val="00FE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3719"/>
  <w15:chartTrackingRefBased/>
  <w15:docId w15:val="{C8D51C21-7A9E-49CE-9565-7BE11C40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DC6"/>
    <w:rPr>
      <w:color w:val="0563C1" w:themeColor="hyperlink"/>
      <w:u w:val="single"/>
    </w:rPr>
  </w:style>
  <w:style w:type="character" w:styleId="UnresolvedMention">
    <w:name w:val="Unresolved Mention"/>
    <w:basedOn w:val="DefaultParagraphFont"/>
    <w:uiPriority w:val="99"/>
    <w:semiHidden/>
    <w:unhideWhenUsed/>
    <w:rsid w:val="00854D19"/>
    <w:rPr>
      <w:color w:val="605E5C"/>
      <w:shd w:val="clear" w:color="auto" w:fill="E1DFDD"/>
    </w:rPr>
  </w:style>
  <w:style w:type="paragraph" w:styleId="Caption">
    <w:name w:val="caption"/>
    <w:basedOn w:val="Normal"/>
    <w:next w:val="Normal"/>
    <w:uiPriority w:val="35"/>
    <w:unhideWhenUsed/>
    <w:qFormat/>
    <w:rsid w:val="001E7AE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03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74569161351807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187/cbe.16-01-0004" TargetMode="External"/><Relationship Id="rId12" Type="http://schemas.openxmlformats.org/officeDocument/2006/relationships/hyperlink" Target="https://tacc.org/sites/default/files/documents/2019-04/emerging-issues-in-mathematics-pathways.pdf"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amstat.org/education/gaise" TargetMode="External"/><Relationship Id="rId11" Type="http://schemas.openxmlformats.org/officeDocument/2006/relationships/hyperlink" Target="http://dx.doi.org/10.4135/9781446250808.n6" TargetMode="External"/><Relationship Id="rId5" Type="http://schemas.openxmlformats.org/officeDocument/2006/relationships/hyperlink" Target="https://www.maa.org/%20programs-and-communities/curriculum%20resources/instructional-practices-guide" TargetMode="External"/><Relationship Id="rId15" Type="http://schemas.openxmlformats.org/officeDocument/2006/relationships/customXml" Target="../customXml/item1.xml"/><Relationship Id="rId10" Type="http://schemas.openxmlformats.org/officeDocument/2006/relationships/hyperlink" Target="https://iase-web.org/ojs/SERJ/article/view/99" TargetMode="External"/><Relationship Id="rId4" Type="http://schemas.openxmlformats.org/officeDocument/2006/relationships/image" Target="media/image1.png"/><Relationship Id="rId9" Type="http://schemas.openxmlformats.org/officeDocument/2006/relationships/hyperlink" Target="https://completecollege.org/wp-content/uploads/2017/11/CCA-Remediation-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C4B811C97CF4095B2A628293B15F9" ma:contentTypeVersion="23" ma:contentTypeDescription="Create a new document." ma:contentTypeScope="" ma:versionID="0eb78f257712238ae598f0213c620897">
  <xsd:schema xmlns:xsd="http://www.w3.org/2001/XMLSchema" xmlns:xs="http://www.w3.org/2001/XMLSchema" xmlns:p="http://schemas.microsoft.com/office/2006/metadata/properties" xmlns:ns2="9b890028-b374-467a-981c-7c67018863ee" xmlns:ns3="f99078db-2687-4cf6-8b85-0a1d74d75d0e" targetNamespace="http://schemas.microsoft.com/office/2006/metadata/properties" ma:root="true" ma:fieldsID="d6ea9cce6e612fff0da3312a557be222" ns2:_="" ns3:_="">
    <xsd:import namespace="9b890028-b374-467a-981c-7c67018863ee"/>
    <xsd:import namespace="f99078db-2687-4cf6-8b85-0a1d74d75d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Course" minOccurs="0"/>
                <xsd:element ref="ns3:MediaServiceLocation"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90028-b374-467a-981c-7c67018863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1b0eb7d-6a3b-46dc-8651-811e708a56f8}" ma:internalName="TaxCatchAll" ma:showField="CatchAllData" ma:web="9b890028-b374-467a-981c-7c67018863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078db-2687-4cf6-8b85-0a1d74d75d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Course" ma:index="20" nillable="true" ma:displayName="Course" ma:format="Dropdown" ma:internalName="Course">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b890028-b374-467a-981c-7c67018863ee" xsi:nil="true"/>
    <Course xmlns="f99078db-2687-4cf6-8b85-0a1d74d75d0e" xsi:nil="true"/>
    <lcf76f155ced4ddcb4097134ff3c332f xmlns="f99078db-2687-4cf6-8b85-0a1d74d75d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2A0466-4A85-495B-965A-04250AD26115}"/>
</file>

<file path=customXml/itemProps2.xml><?xml version="1.0" encoding="utf-8"?>
<ds:datastoreItem xmlns:ds="http://schemas.openxmlformats.org/officeDocument/2006/customXml" ds:itemID="{D589D296-0E24-4EB6-B029-B5234DD864BC}"/>
</file>

<file path=customXml/itemProps3.xml><?xml version="1.0" encoding="utf-8"?>
<ds:datastoreItem xmlns:ds="http://schemas.openxmlformats.org/officeDocument/2006/customXml" ds:itemID="{96D244E2-C716-4065-95F8-EE7CA4DC1F40}"/>
</file>

<file path=docProps/app.xml><?xml version="1.0" encoding="utf-8"?>
<Properties xmlns="http://schemas.openxmlformats.org/officeDocument/2006/extended-properties" xmlns:vt="http://schemas.openxmlformats.org/officeDocument/2006/docPropsVTypes">
  <Template>Normal</Template>
  <TotalTime>4</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KimberLeigh Hadfield</dc:creator>
  <cp:keywords/>
  <dc:description/>
  <cp:lastModifiedBy>KimberLeigh Hadfield</cp:lastModifiedBy>
  <cp:revision>3</cp:revision>
  <dcterms:created xsi:type="dcterms:W3CDTF">2024-05-31T19:09:00Z</dcterms:created>
  <dcterms:modified xsi:type="dcterms:W3CDTF">2024-05-31T19:13:00Z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0x01010036EC4B811C97CF4095B2A628293B15F9</vt:lpwstr>
  </property>
</Properties>
</file>